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99E9" w14:textId="7139F084" w:rsidR="006400BE"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教育部关于公布第二批国家级一流本科课程认定结果的通知</w:t>
      </w:r>
      <w:r w:rsidRPr="005C5F92">
        <w:rPr>
          <w:rFonts w:ascii="宋体" w:eastAsia="宋体" w:hAnsi="宋体"/>
          <w:sz w:val="24"/>
          <w:szCs w:val="24"/>
        </w:rPr>
        <w:t xml:space="preserve"> - 中华人民共和国教育部政府门户网站  </w:t>
      </w:r>
      <w:hyperlink r:id="rId4" w:history="1">
        <w:r w:rsidRPr="005C5F92">
          <w:rPr>
            <w:rStyle w:val="a3"/>
            <w:rFonts w:ascii="宋体" w:eastAsia="宋体" w:hAnsi="宋体"/>
            <w:color w:val="auto"/>
            <w:sz w:val="24"/>
            <w:szCs w:val="24"/>
          </w:rPr>
          <w:t>http://www.moe.gov.cn/srcsite/A08/s7056/202306/t20230612_1063839.html</w:t>
        </w:r>
      </w:hyperlink>
    </w:p>
    <w:p w14:paraId="12F42DF2" w14:textId="4B7A35A2" w:rsidR="00AF3D2B" w:rsidRPr="005C5F92" w:rsidRDefault="00E15AF2" w:rsidP="005C5F92">
      <w:pPr>
        <w:rPr>
          <w:rFonts w:ascii="宋体" w:eastAsia="宋体" w:hAnsi="宋体"/>
          <w:sz w:val="24"/>
          <w:szCs w:val="24"/>
        </w:rPr>
      </w:pPr>
      <w:r w:rsidRPr="005C5F92">
        <w:rPr>
          <w:rFonts w:ascii="宋体" w:eastAsia="宋体" w:hAnsi="宋体"/>
          <w:noProof/>
          <w:sz w:val="24"/>
          <w:szCs w:val="24"/>
        </w:rPr>
        <w:drawing>
          <wp:inline distT="0" distB="0" distL="0" distR="0" wp14:anchorId="2DB57808" wp14:editId="3CE87A75">
            <wp:extent cx="4548802" cy="7105468"/>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7045" r="29612" b="26928"/>
                    <a:stretch/>
                  </pic:blipFill>
                  <pic:spPr bwMode="auto">
                    <a:xfrm>
                      <a:off x="0" y="0"/>
                      <a:ext cx="4558947" cy="7121314"/>
                    </a:xfrm>
                    <a:prstGeom prst="rect">
                      <a:avLst/>
                    </a:prstGeom>
                    <a:noFill/>
                    <a:ln>
                      <a:noFill/>
                    </a:ln>
                    <a:extLst>
                      <a:ext uri="{53640926-AAD7-44D8-BBD7-CCE9431645EC}">
                        <a14:shadowObscured xmlns:a14="http://schemas.microsoft.com/office/drawing/2010/main"/>
                      </a:ext>
                    </a:extLst>
                  </pic:spPr>
                </pic:pic>
              </a:graphicData>
            </a:graphic>
          </wp:inline>
        </w:drawing>
      </w:r>
    </w:p>
    <w:p w14:paraId="18642E56" w14:textId="77777777" w:rsidR="005C5F92" w:rsidRDefault="005C5F92">
      <w:r>
        <w:br w:type="page"/>
      </w:r>
    </w:p>
    <w:tbl>
      <w:tblPr>
        <w:tblW w:w="9388" w:type="dxa"/>
        <w:tblCellMar>
          <w:left w:w="0" w:type="dxa"/>
          <w:right w:w="0" w:type="dxa"/>
        </w:tblCellMar>
        <w:tblLook w:val="04A0" w:firstRow="1" w:lastRow="0" w:firstColumn="1" w:lastColumn="0" w:noHBand="0" w:noVBand="1"/>
      </w:tblPr>
      <w:tblGrid>
        <w:gridCol w:w="1133"/>
        <w:gridCol w:w="2827"/>
        <w:gridCol w:w="1282"/>
        <w:gridCol w:w="1270"/>
        <w:gridCol w:w="1140"/>
        <w:gridCol w:w="1718"/>
        <w:gridCol w:w="18"/>
      </w:tblGrid>
      <w:tr w:rsidR="00E15AF2" w:rsidRPr="005C5F92" w14:paraId="26DB4444" w14:textId="77777777" w:rsidTr="005C5F92">
        <w:tc>
          <w:tcPr>
            <w:tcW w:w="1134" w:type="dxa"/>
            <w:tcBorders>
              <w:top w:val="nil"/>
              <w:left w:val="nil"/>
              <w:bottom w:val="nil"/>
              <w:right w:val="nil"/>
            </w:tcBorders>
            <w:hideMark/>
          </w:tcPr>
          <w:p w14:paraId="299D638A" w14:textId="7953A169" w:rsidR="00AF3D2B" w:rsidRPr="005C5F92" w:rsidRDefault="00AF3D2B" w:rsidP="005C5F92">
            <w:pPr>
              <w:widowControl/>
              <w:spacing w:line="400" w:lineRule="exact"/>
              <w:jc w:val="left"/>
              <w:rPr>
                <w:rFonts w:ascii="宋体" w:eastAsia="宋体" w:hAnsi="宋体"/>
                <w:b/>
                <w:bCs/>
                <w:sz w:val="24"/>
                <w:szCs w:val="24"/>
              </w:rPr>
            </w:pPr>
            <w:r w:rsidRPr="005C5F92">
              <w:rPr>
                <w:rFonts w:ascii="宋体" w:eastAsia="宋体" w:hAnsi="宋体" w:hint="eastAsia"/>
                <w:b/>
                <w:bCs/>
                <w:sz w:val="24"/>
                <w:szCs w:val="24"/>
              </w:rPr>
              <w:lastRenderedPageBreak/>
              <w:t>信息名称：</w:t>
            </w:r>
          </w:p>
        </w:tc>
        <w:tc>
          <w:tcPr>
            <w:tcW w:w="8254" w:type="dxa"/>
            <w:gridSpan w:val="6"/>
            <w:tcBorders>
              <w:top w:val="nil"/>
              <w:left w:val="nil"/>
              <w:bottom w:val="nil"/>
              <w:right w:val="nil"/>
            </w:tcBorders>
            <w:hideMark/>
          </w:tcPr>
          <w:p w14:paraId="16005C22"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教育部关于公布第二批国家级一流本科课程认定结果的通知</w:t>
            </w:r>
          </w:p>
        </w:tc>
      </w:tr>
      <w:tr w:rsidR="00E15AF2" w:rsidRPr="005C5F92" w14:paraId="2F2F5954" w14:textId="77777777" w:rsidTr="005C5F92">
        <w:trPr>
          <w:gridAfter w:val="1"/>
          <w:wAfter w:w="14" w:type="dxa"/>
        </w:trPr>
        <w:tc>
          <w:tcPr>
            <w:tcW w:w="1134" w:type="dxa"/>
            <w:tcBorders>
              <w:top w:val="nil"/>
              <w:left w:val="nil"/>
              <w:bottom w:val="nil"/>
              <w:right w:val="nil"/>
            </w:tcBorders>
            <w:hideMark/>
          </w:tcPr>
          <w:p w14:paraId="44D6BC38"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信息索引：</w:t>
            </w:r>
          </w:p>
        </w:tc>
        <w:tc>
          <w:tcPr>
            <w:tcW w:w="2828" w:type="dxa"/>
            <w:tcBorders>
              <w:top w:val="nil"/>
              <w:left w:val="nil"/>
              <w:bottom w:val="nil"/>
              <w:right w:val="nil"/>
            </w:tcBorders>
            <w:hideMark/>
          </w:tcPr>
          <w:p w14:paraId="7CFF902C"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360A08-07-2023-0008-1</w:t>
            </w:r>
          </w:p>
        </w:tc>
        <w:tc>
          <w:tcPr>
            <w:tcW w:w="1283" w:type="dxa"/>
            <w:tcBorders>
              <w:top w:val="nil"/>
              <w:left w:val="nil"/>
              <w:bottom w:val="nil"/>
              <w:right w:val="nil"/>
            </w:tcBorders>
            <w:hideMark/>
          </w:tcPr>
          <w:p w14:paraId="734AF466"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生成日期：</w:t>
            </w:r>
          </w:p>
        </w:tc>
        <w:tc>
          <w:tcPr>
            <w:tcW w:w="1270" w:type="dxa"/>
            <w:tcBorders>
              <w:top w:val="nil"/>
              <w:left w:val="nil"/>
              <w:bottom w:val="nil"/>
              <w:right w:val="nil"/>
            </w:tcBorders>
            <w:hideMark/>
          </w:tcPr>
          <w:p w14:paraId="1D8ED62E"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2023-06-05</w:t>
            </w:r>
          </w:p>
        </w:tc>
        <w:tc>
          <w:tcPr>
            <w:tcW w:w="1140" w:type="dxa"/>
            <w:tcBorders>
              <w:top w:val="nil"/>
              <w:left w:val="nil"/>
              <w:bottom w:val="nil"/>
              <w:right w:val="nil"/>
            </w:tcBorders>
            <w:hideMark/>
          </w:tcPr>
          <w:p w14:paraId="0BBB768F"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发文机构：</w:t>
            </w:r>
          </w:p>
        </w:tc>
        <w:tc>
          <w:tcPr>
            <w:tcW w:w="1719" w:type="dxa"/>
            <w:tcBorders>
              <w:top w:val="nil"/>
              <w:left w:val="nil"/>
              <w:bottom w:val="nil"/>
              <w:right w:val="nil"/>
            </w:tcBorders>
            <w:hideMark/>
          </w:tcPr>
          <w:p w14:paraId="31C0093E"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中华人民共和国教育部</w:t>
            </w:r>
          </w:p>
        </w:tc>
      </w:tr>
      <w:tr w:rsidR="00E15AF2" w:rsidRPr="005C5F92" w14:paraId="125ADE21" w14:textId="77777777" w:rsidTr="005C5F92">
        <w:trPr>
          <w:gridAfter w:val="1"/>
          <w:wAfter w:w="18" w:type="dxa"/>
        </w:trPr>
        <w:tc>
          <w:tcPr>
            <w:tcW w:w="1134" w:type="dxa"/>
            <w:tcBorders>
              <w:top w:val="nil"/>
              <w:left w:val="nil"/>
              <w:bottom w:val="nil"/>
              <w:right w:val="nil"/>
            </w:tcBorders>
            <w:hideMark/>
          </w:tcPr>
          <w:p w14:paraId="4682C222"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发文字号：</w:t>
            </w:r>
          </w:p>
        </w:tc>
        <w:tc>
          <w:tcPr>
            <w:tcW w:w="2828" w:type="dxa"/>
            <w:tcBorders>
              <w:top w:val="nil"/>
              <w:left w:val="nil"/>
              <w:bottom w:val="nil"/>
              <w:right w:val="nil"/>
            </w:tcBorders>
            <w:hideMark/>
          </w:tcPr>
          <w:p w14:paraId="215E6B4B" w14:textId="77777777" w:rsidR="00AF3D2B" w:rsidRPr="005C5F92" w:rsidRDefault="00AF3D2B" w:rsidP="005C5F92">
            <w:pPr>
              <w:spacing w:line="400" w:lineRule="exact"/>
              <w:rPr>
                <w:rFonts w:ascii="宋体" w:eastAsia="宋体" w:hAnsi="宋体"/>
                <w:sz w:val="24"/>
                <w:szCs w:val="24"/>
              </w:rPr>
            </w:pPr>
            <w:proofErr w:type="gramStart"/>
            <w:r w:rsidRPr="005C5F92">
              <w:rPr>
                <w:rFonts w:ascii="宋体" w:eastAsia="宋体" w:hAnsi="宋体" w:hint="eastAsia"/>
                <w:sz w:val="24"/>
                <w:szCs w:val="24"/>
              </w:rPr>
              <w:t>教高函</w:t>
            </w:r>
            <w:proofErr w:type="gramEnd"/>
            <w:r w:rsidRPr="005C5F92">
              <w:rPr>
                <w:rFonts w:ascii="宋体" w:eastAsia="宋体" w:hAnsi="宋体" w:hint="eastAsia"/>
                <w:sz w:val="24"/>
                <w:szCs w:val="24"/>
              </w:rPr>
              <w:t>〔2023〕7号</w:t>
            </w:r>
          </w:p>
        </w:tc>
        <w:tc>
          <w:tcPr>
            <w:tcW w:w="1283" w:type="dxa"/>
            <w:tcBorders>
              <w:top w:val="nil"/>
              <w:left w:val="nil"/>
              <w:bottom w:val="nil"/>
              <w:right w:val="nil"/>
            </w:tcBorders>
            <w:hideMark/>
          </w:tcPr>
          <w:p w14:paraId="3E46E706"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信息类别：</w:t>
            </w:r>
          </w:p>
        </w:tc>
        <w:tc>
          <w:tcPr>
            <w:tcW w:w="4125" w:type="dxa"/>
            <w:gridSpan w:val="3"/>
            <w:tcBorders>
              <w:top w:val="nil"/>
              <w:left w:val="nil"/>
              <w:bottom w:val="nil"/>
              <w:right w:val="nil"/>
            </w:tcBorders>
            <w:hideMark/>
          </w:tcPr>
          <w:p w14:paraId="4119B5A9"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高等教育</w:t>
            </w:r>
          </w:p>
        </w:tc>
      </w:tr>
      <w:tr w:rsidR="00E15AF2" w:rsidRPr="005C5F92" w14:paraId="226F672E" w14:textId="77777777" w:rsidTr="005C5F92">
        <w:tc>
          <w:tcPr>
            <w:tcW w:w="1134" w:type="dxa"/>
            <w:tcBorders>
              <w:top w:val="nil"/>
              <w:left w:val="nil"/>
              <w:bottom w:val="nil"/>
              <w:right w:val="nil"/>
            </w:tcBorders>
            <w:hideMark/>
          </w:tcPr>
          <w:p w14:paraId="43084146" w14:textId="77777777" w:rsidR="00AF3D2B" w:rsidRPr="005C5F92" w:rsidRDefault="00AF3D2B" w:rsidP="005C5F92">
            <w:pPr>
              <w:spacing w:line="400" w:lineRule="exact"/>
              <w:rPr>
                <w:rFonts w:ascii="宋体" w:eastAsia="宋体" w:hAnsi="宋体"/>
                <w:b/>
                <w:bCs/>
                <w:sz w:val="24"/>
                <w:szCs w:val="24"/>
              </w:rPr>
            </w:pPr>
            <w:r w:rsidRPr="005C5F92">
              <w:rPr>
                <w:rFonts w:ascii="宋体" w:eastAsia="宋体" w:hAnsi="宋体" w:hint="eastAsia"/>
                <w:b/>
                <w:bCs/>
                <w:sz w:val="24"/>
                <w:szCs w:val="24"/>
              </w:rPr>
              <w:t>内容概述：</w:t>
            </w:r>
          </w:p>
        </w:tc>
        <w:tc>
          <w:tcPr>
            <w:tcW w:w="8254" w:type="dxa"/>
            <w:gridSpan w:val="6"/>
            <w:tcBorders>
              <w:top w:val="nil"/>
              <w:left w:val="nil"/>
              <w:bottom w:val="nil"/>
              <w:right w:val="nil"/>
            </w:tcBorders>
            <w:hideMark/>
          </w:tcPr>
          <w:p w14:paraId="2EBCF77E" w14:textId="77777777" w:rsidR="00AF3D2B" w:rsidRPr="005C5F92" w:rsidRDefault="00AF3D2B" w:rsidP="005C5F92">
            <w:pPr>
              <w:spacing w:line="400" w:lineRule="exact"/>
              <w:rPr>
                <w:rFonts w:ascii="宋体" w:eastAsia="宋体" w:hAnsi="宋体"/>
                <w:sz w:val="24"/>
                <w:szCs w:val="24"/>
              </w:rPr>
            </w:pPr>
            <w:r w:rsidRPr="005C5F92">
              <w:rPr>
                <w:rFonts w:ascii="宋体" w:eastAsia="宋体" w:hAnsi="宋体" w:hint="eastAsia"/>
                <w:sz w:val="24"/>
                <w:szCs w:val="24"/>
              </w:rPr>
              <w:t>教育部公布第二批国家级一流本科课程认定结果。</w:t>
            </w:r>
          </w:p>
        </w:tc>
      </w:tr>
    </w:tbl>
    <w:p w14:paraId="26D6115A" w14:textId="5276163C" w:rsidR="00AF3D2B" w:rsidRPr="005C5F92" w:rsidRDefault="00AF3D2B" w:rsidP="005C5F92">
      <w:pPr>
        <w:pStyle w:val="1"/>
        <w:spacing w:before="0" w:beforeAutospacing="0" w:after="0" w:afterAutospacing="0" w:line="400" w:lineRule="exact"/>
        <w:jc w:val="center"/>
        <w:rPr>
          <w:sz w:val="24"/>
          <w:szCs w:val="24"/>
        </w:rPr>
      </w:pPr>
      <w:r w:rsidRPr="005C5F92">
        <w:rPr>
          <w:rFonts w:hint="eastAsia"/>
          <w:sz w:val="24"/>
          <w:szCs w:val="24"/>
        </w:rPr>
        <w:t>教育部关于公布第二批国家级一流本科课程认定结果的通知</w:t>
      </w:r>
    </w:p>
    <w:p w14:paraId="7D6461AA" w14:textId="77777777" w:rsidR="00AF3D2B" w:rsidRPr="005C5F92" w:rsidRDefault="00AF3D2B" w:rsidP="005C5F92">
      <w:pPr>
        <w:pStyle w:val="moe-policy-wenhao"/>
        <w:spacing w:before="0" w:beforeAutospacing="0" w:after="0" w:afterAutospacing="0" w:line="400" w:lineRule="exact"/>
        <w:jc w:val="right"/>
      </w:pPr>
      <w:proofErr w:type="gramStart"/>
      <w:r w:rsidRPr="005C5F92">
        <w:rPr>
          <w:rFonts w:hint="eastAsia"/>
        </w:rPr>
        <w:t>教高函</w:t>
      </w:r>
      <w:proofErr w:type="gramEnd"/>
      <w:r w:rsidRPr="005C5F92">
        <w:rPr>
          <w:rFonts w:hint="eastAsia"/>
        </w:rPr>
        <w:t>〔2023〕7号</w:t>
      </w:r>
    </w:p>
    <w:p w14:paraId="0F03AAE6" w14:textId="77777777" w:rsidR="00AF3D2B" w:rsidRPr="005C5F92" w:rsidRDefault="00AF3D2B" w:rsidP="005C5F92">
      <w:pPr>
        <w:pStyle w:val="a5"/>
        <w:spacing w:before="0" w:beforeAutospacing="0" w:after="0" w:afterAutospacing="0" w:line="400" w:lineRule="exact"/>
      </w:pPr>
      <w:r w:rsidRPr="005C5F92">
        <w:rPr>
          <w:rFonts w:hint="eastAsia"/>
        </w:rPr>
        <w:t>各省、自治区、直辖市教育厅（教委），新疆生产建设兵团教育局，有关部门（单位）教育司（局），中央军委训练管理部军事教育局，部属各高等学校、部省合建各高等学校，有关课程平台单位：</w:t>
      </w:r>
    </w:p>
    <w:p w14:paraId="1AC00203" w14:textId="77777777" w:rsidR="00AF3D2B" w:rsidRPr="005C5F92" w:rsidRDefault="00AF3D2B" w:rsidP="005C5F92">
      <w:pPr>
        <w:pStyle w:val="a5"/>
        <w:spacing w:before="0" w:beforeAutospacing="0" w:after="0" w:afterAutospacing="0" w:line="400" w:lineRule="exact"/>
      </w:pPr>
      <w:r w:rsidRPr="005C5F92">
        <w:rPr>
          <w:rFonts w:hint="eastAsia"/>
        </w:rPr>
        <w:t xml:space="preserve">　　根据《教育部关于一流本科课程建设的实施意见》（</w:t>
      </w:r>
      <w:proofErr w:type="gramStart"/>
      <w:r w:rsidRPr="005C5F92">
        <w:rPr>
          <w:rFonts w:hint="eastAsia"/>
        </w:rPr>
        <w:t>教高〔2019〕</w:t>
      </w:r>
      <w:proofErr w:type="gramEnd"/>
      <w:r w:rsidRPr="005C5F92">
        <w:rPr>
          <w:rFonts w:hint="eastAsia"/>
        </w:rPr>
        <w:t>8号）精神和《教育部办公厅关于开展第二批国家级一流本科课程认定工作的通知》（</w:t>
      </w:r>
      <w:proofErr w:type="gramStart"/>
      <w:r w:rsidRPr="005C5F92">
        <w:rPr>
          <w:rFonts w:hint="eastAsia"/>
        </w:rPr>
        <w:t>教高厅函</w:t>
      </w:r>
      <w:proofErr w:type="gramEnd"/>
      <w:r w:rsidRPr="005C5F92">
        <w:rPr>
          <w:rFonts w:hint="eastAsia"/>
        </w:rPr>
        <w:t>〔2021〕13号）的有关要求，经省级教育行政部门、有关部门（单位）教育司（局）、中央军委训练管理部军事教育局、部属高等学校申报推荐，并经专家评议与公示，认定5750门课程为第二批国家级一流本科课程。其中，线上课程1095门，虚拟仿真实验教学课程472门，线上线下混合式课程1800门，线下课程2076门，社会实践课程307门。现予以公布。</w:t>
      </w:r>
    </w:p>
    <w:p w14:paraId="5319F95E" w14:textId="77777777" w:rsidR="00AF3D2B" w:rsidRPr="005C5F92" w:rsidRDefault="00AF3D2B" w:rsidP="005C5F92">
      <w:pPr>
        <w:pStyle w:val="a5"/>
        <w:spacing w:before="0" w:beforeAutospacing="0" w:after="0" w:afterAutospacing="0" w:line="400" w:lineRule="exact"/>
      </w:pPr>
      <w:r w:rsidRPr="005C5F92">
        <w:rPr>
          <w:rFonts w:hint="eastAsia"/>
        </w:rPr>
        <w:t xml:space="preserve">　　各省级教育行政部门、有关部门（单位）、高等学校要认真做好党的二十大精神及时、全面、准确进课程和进课堂工作，将党中央的决策部署落实到本科课程建设中，紧密结合基础学科拔尖创新人才培养和“四新”建设，推动教育数字化深度融入人才培养、教育教学、教育管理，深化本科课程体系、课程内容与教学模式改革与创新，注重一流本科课程建设与应用优秀案例的推广，推进一流本科课程示范引领作用取得更大成效。积极推动更多优质在线开放课程和虚拟仿真实验课程上线开放共享，与有关课程平台单位共同做好在线课程教学服务，切实推进课程内容与时俱进、更新完善，提升课程资源和共享服务质量，为国家高等教育智慧教育平台提供支持。</w:t>
      </w:r>
    </w:p>
    <w:p w14:paraId="2680618B" w14:textId="77777777" w:rsidR="00AF3D2B" w:rsidRPr="005C5F92" w:rsidRDefault="00AF3D2B" w:rsidP="005C5F92">
      <w:pPr>
        <w:pStyle w:val="a5"/>
        <w:spacing w:before="0" w:beforeAutospacing="0" w:after="0" w:afterAutospacing="0" w:line="400" w:lineRule="exact"/>
      </w:pPr>
      <w:r w:rsidRPr="005C5F92">
        <w:rPr>
          <w:rFonts w:hint="eastAsia"/>
        </w:rPr>
        <w:t xml:space="preserve">　　中央部门所属高校要在中央高校教育教学改革专项中支持国家级一流本科课程建设与共享，省级教育行政部门和地方有关高校也应制定相应支持政策和措施。</w:t>
      </w:r>
    </w:p>
    <w:p w14:paraId="262AD588" w14:textId="77777777" w:rsidR="00AF3D2B" w:rsidRPr="005C5F92" w:rsidRDefault="00AF3D2B" w:rsidP="005C5F92">
      <w:pPr>
        <w:pStyle w:val="a5"/>
        <w:spacing w:before="0" w:beforeAutospacing="0" w:after="0" w:afterAutospacing="0" w:line="400" w:lineRule="exact"/>
      </w:pPr>
      <w:r w:rsidRPr="005C5F92">
        <w:rPr>
          <w:rFonts w:hint="eastAsia"/>
        </w:rPr>
        <w:t xml:space="preserve">　　教育部将通过使用评价、定期检查等方式，对国家级一流本科课程建设和使用情况进行跟踪监督和管理。自公布之日起5年内，未能按照各类课程要求开放共享或持续建设的课程，将取消国家级一流本科课程资格。</w:t>
      </w:r>
    </w:p>
    <w:p w14:paraId="544E998C" w14:textId="77777777" w:rsidR="00AF3D2B" w:rsidRPr="005C5F92" w:rsidRDefault="00AF3D2B" w:rsidP="005C5F92">
      <w:pPr>
        <w:pStyle w:val="a5"/>
        <w:spacing w:before="0" w:beforeAutospacing="0" w:after="0" w:afterAutospacing="0" w:line="400" w:lineRule="exact"/>
      </w:pPr>
      <w:r w:rsidRPr="005C5F92">
        <w:rPr>
          <w:rFonts w:hint="eastAsia"/>
        </w:rPr>
        <w:t xml:space="preserve">　　附件：</w:t>
      </w:r>
      <w:hyperlink r:id="rId6" w:tgtFrame="_blank" w:history="1">
        <w:r w:rsidRPr="005C5F92">
          <w:rPr>
            <w:rStyle w:val="a3"/>
            <w:rFonts w:hint="eastAsia"/>
            <w:color w:val="auto"/>
            <w:bdr w:val="none" w:sz="0" w:space="0" w:color="auto" w:frame="1"/>
          </w:rPr>
          <w:t>第二批国家级一流本科课程名单</w:t>
        </w:r>
      </w:hyperlink>
    </w:p>
    <w:p w14:paraId="66657336" w14:textId="77777777" w:rsidR="00AF3D2B" w:rsidRPr="005C5F92" w:rsidRDefault="00AF3D2B" w:rsidP="005C5F92">
      <w:pPr>
        <w:pStyle w:val="a5"/>
        <w:spacing w:before="0" w:beforeAutospacing="0" w:after="0" w:afterAutospacing="0" w:line="400" w:lineRule="exact"/>
        <w:jc w:val="right"/>
      </w:pPr>
      <w:r w:rsidRPr="005C5F92">
        <w:rPr>
          <w:rFonts w:hint="eastAsia"/>
        </w:rPr>
        <w:t>教育部</w:t>
      </w:r>
    </w:p>
    <w:p w14:paraId="5D01D946" w14:textId="77777777" w:rsidR="00AF3D2B" w:rsidRPr="005C5F92" w:rsidRDefault="00AF3D2B" w:rsidP="005C5F92">
      <w:pPr>
        <w:pStyle w:val="a5"/>
        <w:spacing w:before="0" w:beforeAutospacing="0" w:after="0" w:afterAutospacing="0" w:line="400" w:lineRule="exact"/>
        <w:jc w:val="right"/>
      </w:pPr>
      <w:r w:rsidRPr="005C5F92">
        <w:rPr>
          <w:rFonts w:hint="eastAsia"/>
        </w:rPr>
        <w:t>2023年5月30日</w:t>
      </w:r>
    </w:p>
    <w:p w14:paraId="0E8CFCF9" w14:textId="7922B44A" w:rsidR="00E15AF2" w:rsidRPr="005C5F92" w:rsidRDefault="00E15AF2" w:rsidP="005C5F92">
      <w:pPr>
        <w:spacing w:line="400" w:lineRule="exact"/>
        <w:rPr>
          <w:rFonts w:ascii="宋体" w:eastAsia="宋体" w:hAnsi="宋体"/>
          <w:sz w:val="24"/>
          <w:szCs w:val="24"/>
        </w:rPr>
      </w:pPr>
      <w:r w:rsidRPr="005C5F92">
        <w:rPr>
          <w:rFonts w:ascii="宋体" w:eastAsia="宋体" w:hAnsi="宋体"/>
          <w:sz w:val="24"/>
          <w:szCs w:val="24"/>
        </w:rPr>
        <w:br w:type="page"/>
      </w:r>
    </w:p>
    <w:p w14:paraId="0ED37BEE" w14:textId="77777777" w:rsidR="00E15AF2" w:rsidRPr="005C5F92" w:rsidRDefault="00E15AF2" w:rsidP="005C5F92">
      <w:pPr>
        <w:widowControl/>
        <w:adjustRightInd w:val="0"/>
        <w:snapToGrid w:val="0"/>
        <w:spacing w:line="400" w:lineRule="exact"/>
        <w:rPr>
          <w:rFonts w:ascii="宋体" w:eastAsia="宋体" w:hAnsi="宋体" w:cs="Times New Roman"/>
          <w:color w:val="000000" w:themeColor="text1"/>
          <w:sz w:val="24"/>
          <w:szCs w:val="24"/>
        </w:rPr>
      </w:pPr>
      <w:r w:rsidRPr="005C5F92">
        <w:rPr>
          <w:rFonts w:ascii="宋体" w:eastAsia="宋体" w:hAnsi="宋体" w:cs="Times New Roman" w:hint="eastAsia"/>
          <w:color w:val="000000" w:themeColor="text1"/>
          <w:sz w:val="24"/>
          <w:szCs w:val="24"/>
        </w:rPr>
        <w:lastRenderedPageBreak/>
        <w:t>附件</w:t>
      </w:r>
    </w:p>
    <w:p w14:paraId="624614CD" w14:textId="77777777" w:rsidR="00E15AF2" w:rsidRPr="005C5F92" w:rsidRDefault="00E15AF2" w:rsidP="005C5F92">
      <w:pPr>
        <w:widowControl/>
        <w:adjustRightInd w:val="0"/>
        <w:snapToGrid w:val="0"/>
        <w:spacing w:line="400" w:lineRule="exact"/>
        <w:jc w:val="center"/>
        <w:rPr>
          <w:rFonts w:ascii="宋体" w:eastAsia="宋体" w:hAnsi="宋体" w:cs="Times New Roman"/>
          <w:color w:val="000000" w:themeColor="text1"/>
          <w:sz w:val="24"/>
          <w:szCs w:val="24"/>
        </w:rPr>
      </w:pPr>
      <w:r w:rsidRPr="005C5F92">
        <w:rPr>
          <w:rFonts w:ascii="宋体" w:eastAsia="宋体" w:hAnsi="宋体" w:cs="Times New Roman" w:hint="eastAsia"/>
          <w:color w:val="000000" w:themeColor="text1"/>
          <w:sz w:val="24"/>
          <w:szCs w:val="24"/>
        </w:rPr>
        <w:t>第二批国家级一流本科课程名单</w:t>
      </w:r>
    </w:p>
    <w:p w14:paraId="15CA6352" w14:textId="77777777" w:rsidR="00E15AF2" w:rsidRPr="005C5F92" w:rsidRDefault="00E15AF2" w:rsidP="005C5F92">
      <w:pPr>
        <w:spacing w:line="400" w:lineRule="exact"/>
        <w:rPr>
          <w:rFonts w:ascii="宋体" w:eastAsia="宋体" w:hAnsi="宋体"/>
          <w:sz w:val="24"/>
          <w:szCs w:val="24"/>
        </w:rPr>
      </w:pPr>
      <w:r w:rsidRPr="005C5F92">
        <w:rPr>
          <w:rFonts w:ascii="宋体" w:eastAsia="宋体" w:hAnsi="宋体" w:hint="eastAsia"/>
          <w:sz w:val="24"/>
          <w:szCs w:val="24"/>
        </w:rPr>
        <w:t>二、虚拟仿真实验教学一流课程（</w:t>
      </w:r>
      <w:r w:rsidRPr="005C5F92">
        <w:rPr>
          <w:rFonts w:ascii="宋体" w:eastAsia="宋体" w:hAnsi="宋体"/>
          <w:sz w:val="24"/>
          <w:szCs w:val="24"/>
        </w:rPr>
        <w:t>472门）</w:t>
      </w:r>
    </w:p>
    <w:tbl>
      <w:tblPr>
        <w:tblW w:w="9634" w:type="dxa"/>
        <w:tblLook w:val="04A0" w:firstRow="1" w:lastRow="0" w:firstColumn="1" w:lastColumn="0" w:noHBand="0" w:noVBand="1"/>
      </w:tblPr>
      <w:tblGrid>
        <w:gridCol w:w="704"/>
        <w:gridCol w:w="2410"/>
        <w:gridCol w:w="1559"/>
        <w:gridCol w:w="2693"/>
        <w:gridCol w:w="2268"/>
      </w:tblGrid>
      <w:tr w:rsidR="005C5F92" w:rsidRPr="005C5F92" w14:paraId="0338341F"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34323"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FF38BA7"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415BE9"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课程负责人</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F6FD61B"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课程团队其他主要成员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075A931"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主要建设单位</w:t>
            </w:r>
          </w:p>
        </w:tc>
      </w:tr>
      <w:tr w:rsidR="005C5F92" w:rsidRPr="005C5F92" w14:paraId="06E1AE18"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4CED" w14:textId="77777777"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kern w:val="0"/>
                <w:sz w:val="24"/>
                <w:szCs w:val="24"/>
              </w:rPr>
              <w:t>167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77D466" w14:textId="77777777"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飞机机身壁板断裂力学虚拟仿真实验</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1C35A8"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高存法</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4433762"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严刚、汤剑飞、史治宇、郭树祥</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1B0A422" w14:textId="77777777"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南京航空航天大学</w:t>
            </w:r>
          </w:p>
        </w:tc>
      </w:tr>
    </w:tbl>
    <w:p w14:paraId="07CEFCA7" w14:textId="77777777" w:rsidR="005C5F92" w:rsidRDefault="005C5F92" w:rsidP="005C5F92">
      <w:pPr>
        <w:spacing w:line="400" w:lineRule="exact"/>
        <w:rPr>
          <w:rFonts w:ascii="宋体" w:eastAsia="宋体" w:hAnsi="宋体"/>
          <w:sz w:val="24"/>
          <w:szCs w:val="24"/>
        </w:rPr>
      </w:pPr>
    </w:p>
    <w:p w14:paraId="7159BCFD" w14:textId="3878A7ED" w:rsidR="00E15AF2" w:rsidRPr="005C5F92" w:rsidRDefault="00E15AF2" w:rsidP="005C5F92">
      <w:pPr>
        <w:spacing w:line="400" w:lineRule="exact"/>
        <w:rPr>
          <w:rFonts w:ascii="宋体" w:eastAsia="宋体" w:hAnsi="宋体"/>
          <w:sz w:val="24"/>
          <w:szCs w:val="24"/>
        </w:rPr>
      </w:pPr>
      <w:r w:rsidRPr="005C5F92">
        <w:rPr>
          <w:rFonts w:ascii="宋体" w:eastAsia="宋体" w:hAnsi="宋体" w:hint="eastAsia"/>
          <w:sz w:val="24"/>
          <w:szCs w:val="24"/>
        </w:rPr>
        <w:t>三、线上线下混合式一流课程（</w:t>
      </w:r>
      <w:r w:rsidRPr="005C5F92">
        <w:rPr>
          <w:rFonts w:ascii="宋体" w:eastAsia="宋体" w:hAnsi="宋体"/>
          <w:sz w:val="24"/>
          <w:szCs w:val="24"/>
        </w:rPr>
        <w:t>1800门）</w:t>
      </w:r>
    </w:p>
    <w:tbl>
      <w:tblPr>
        <w:tblW w:w="9634" w:type="dxa"/>
        <w:tblLayout w:type="fixed"/>
        <w:tblLook w:val="04A0" w:firstRow="1" w:lastRow="0" w:firstColumn="1" w:lastColumn="0" w:noHBand="0" w:noVBand="1"/>
      </w:tblPr>
      <w:tblGrid>
        <w:gridCol w:w="704"/>
        <w:gridCol w:w="2268"/>
        <w:gridCol w:w="1559"/>
        <w:gridCol w:w="2835"/>
        <w:gridCol w:w="2268"/>
      </w:tblGrid>
      <w:tr w:rsidR="00E15AF2" w:rsidRPr="005C5F92" w14:paraId="5993D796"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23E8" w14:textId="77777777"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BD247A3" w14:textId="77777777"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12EF37" w14:textId="77777777"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课程负责人</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6FD0E4" w14:textId="77777777"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课程团队其他主要成员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EADB8B6" w14:textId="77777777"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主要建设单位</w:t>
            </w:r>
          </w:p>
        </w:tc>
      </w:tr>
      <w:tr w:rsidR="00E15AF2" w:rsidRPr="005C5F92" w14:paraId="7A376FF5"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39053" w14:textId="71D9D37F"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kern w:val="0"/>
                <w:sz w:val="24"/>
                <w:szCs w:val="24"/>
              </w:rPr>
              <w:t>578</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DA4C021" w14:textId="4C93AA78"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材料力学</w:t>
            </w:r>
            <w:r w:rsidRPr="005C5F92">
              <w:rPr>
                <w:rFonts w:ascii="宋体" w:eastAsia="宋体" w:hAnsi="宋体" w:cs="Times New Roman"/>
                <w:kern w:val="0"/>
                <w:sz w:val="24"/>
                <w:szCs w:val="24"/>
              </w:rPr>
              <w: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6B951E" w14:textId="57FF96D5"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孙伟</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4485A6" w14:textId="034A5009"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范钦珊、张剑、李晨、李栋栋</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5C824C5" w14:textId="54ED16E6"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南京航空航天大学</w:t>
            </w:r>
          </w:p>
        </w:tc>
      </w:tr>
      <w:tr w:rsidR="00E15AF2" w:rsidRPr="005C5F92" w14:paraId="3B946036"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6FB3D" w14:textId="3E17EA90"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kern w:val="0"/>
                <w:sz w:val="24"/>
                <w:szCs w:val="24"/>
              </w:rPr>
              <w:t>580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211D44" w14:textId="368E6EBB"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理论力学</w:t>
            </w:r>
            <w:r w:rsidRPr="005C5F92">
              <w:rPr>
                <w:rFonts w:ascii="宋体" w:eastAsia="宋体" w:hAnsi="宋体" w:cs="Times New Roman"/>
                <w:kern w:val="0"/>
                <w:sz w:val="24"/>
                <w:szCs w:val="24"/>
              </w:rPr>
              <w: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6C85D4" w14:textId="113ABC4D"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陈建平</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A5704D6" w14:textId="15568A93" w:rsidR="00E15AF2" w:rsidRPr="005C5F92" w:rsidRDefault="00E15AF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唐静静、刘荣梅</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7615206" w14:textId="340EF083" w:rsidR="00E15AF2" w:rsidRPr="005C5F92" w:rsidRDefault="00E15AF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南京航空航天大学</w:t>
            </w:r>
          </w:p>
        </w:tc>
      </w:tr>
      <w:tr w:rsidR="00930891" w:rsidRPr="005C5F92" w14:paraId="6B423380"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3127F" w14:textId="56CCBC18" w:rsidR="00930891" w:rsidRPr="005C5F92" w:rsidRDefault="00930891" w:rsidP="005C5F92">
            <w:pPr>
              <w:widowControl/>
              <w:spacing w:line="400" w:lineRule="exact"/>
              <w:jc w:val="center"/>
              <w:rPr>
                <w:rFonts w:ascii="宋体" w:eastAsia="宋体" w:hAnsi="宋体" w:cs="Times New Roman"/>
                <w:kern w:val="0"/>
                <w:sz w:val="24"/>
                <w:szCs w:val="24"/>
              </w:rPr>
            </w:pPr>
            <w:r w:rsidRPr="005C5F92">
              <w:rPr>
                <w:rFonts w:ascii="宋体" w:eastAsia="宋体" w:hAnsi="宋体" w:cs="Times New Roman"/>
                <w:kern w:val="0"/>
                <w:sz w:val="24"/>
                <w:szCs w:val="24"/>
              </w:rPr>
              <w:t>816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4594BB0" w14:textId="0758BFC3" w:rsidR="00930891" w:rsidRPr="005C5F92" w:rsidRDefault="00930891" w:rsidP="005C5F92">
            <w:pPr>
              <w:widowControl/>
              <w:spacing w:line="400" w:lineRule="exact"/>
              <w:jc w:val="center"/>
              <w:rPr>
                <w:rFonts w:ascii="宋体" w:eastAsia="宋体" w:hAnsi="宋体" w:cs="Times New Roman" w:hint="eastAsia"/>
                <w:kern w:val="0"/>
                <w:sz w:val="24"/>
                <w:szCs w:val="24"/>
              </w:rPr>
            </w:pPr>
            <w:r w:rsidRPr="005C5F92">
              <w:rPr>
                <w:rFonts w:ascii="宋体" w:eastAsia="宋体" w:hAnsi="宋体" w:cs="Times New Roman" w:hint="eastAsia"/>
                <w:kern w:val="0"/>
                <w:sz w:val="24"/>
                <w:szCs w:val="24"/>
              </w:rPr>
              <w:t>直升机飞行力学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B93F3B" w14:textId="72C1438D" w:rsidR="00930891" w:rsidRPr="005C5F92" w:rsidRDefault="00930891" w:rsidP="005C5F92">
            <w:pPr>
              <w:widowControl/>
              <w:spacing w:line="400" w:lineRule="exact"/>
              <w:jc w:val="center"/>
              <w:rPr>
                <w:rFonts w:ascii="宋体" w:eastAsia="宋体" w:hAnsi="宋体" w:cs="Times New Roman"/>
                <w:kern w:val="0"/>
                <w:sz w:val="24"/>
                <w:szCs w:val="24"/>
              </w:rPr>
            </w:pPr>
            <w:r w:rsidRPr="005C5F92">
              <w:rPr>
                <w:rFonts w:ascii="宋体" w:eastAsia="宋体" w:hAnsi="宋体" w:cs="Times New Roman"/>
                <w:kern w:val="0"/>
                <w:sz w:val="24"/>
                <w:szCs w:val="24"/>
              </w:rPr>
              <w:t>陈仁良</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DBB9F4A" w14:textId="7B495C66" w:rsidR="00930891" w:rsidRPr="005C5F92" w:rsidRDefault="00930891" w:rsidP="005C5F92">
            <w:pPr>
              <w:widowControl/>
              <w:spacing w:line="400" w:lineRule="exact"/>
              <w:jc w:val="center"/>
              <w:rPr>
                <w:rFonts w:ascii="宋体" w:eastAsia="宋体" w:hAnsi="宋体" w:cs="Times New Roman"/>
                <w:kern w:val="0"/>
                <w:sz w:val="24"/>
                <w:szCs w:val="24"/>
              </w:rPr>
            </w:pPr>
            <w:r w:rsidRPr="005C5F92">
              <w:rPr>
                <w:rFonts w:ascii="宋体" w:eastAsia="宋体" w:hAnsi="宋体" w:cs="Times New Roman"/>
                <w:kern w:val="0"/>
                <w:sz w:val="24"/>
                <w:szCs w:val="24"/>
              </w:rPr>
              <w:t>李攀、陆洋</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1DAA03D" w14:textId="486AAFB6" w:rsidR="00930891" w:rsidRPr="005C5F92" w:rsidRDefault="00930891" w:rsidP="005C5F92">
            <w:pPr>
              <w:widowControl/>
              <w:spacing w:line="400" w:lineRule="exact"/>
              <w:jc w:val="center"/>
              <w:rPr>
                <w:rFonts w:ascii="宋体" w:eastAsia="宋体" w:hAnsi="宋体" w:cs="Times New Roman" w:hint="eastAsia"/>
                <w:kern w:val="0"/>
                <w:sz w:val="24"/>
                <w:szCs w:val="24"/>
              </w:rPr>
            </w:pPr>
            <w:r w:rsidRPr="005C5F92">
              <w:rPr>
                <w:rFonts w:ascii="宋体" w:eastAsia="宋体" w:hAnsi="宋体" w:cs="Times New Roman" w:hint="eastAsia"/>
                <w:kern w:val="0"/>
                <w:sz w:val="24"/>
                <w:szCs w:val="24"/>
              </w:rPr>
              <w:t>南京航空航天大学</w:t>
            </w:r>
          </w:p>
        </w:tc>
      </w:tr>
    </w:tbl>
    <w:p w14:paraId="436B84D3" w14:textId="1F54DBA8" w:rsidR="00AF3D2B" w:rsidRPr="005C5F92" w:rsidRDefault="00AF3D2B" w:rsidP="005C5F92">
      <w:pPr>
        <w:spacing w:line="400" w:lineRule="exact"/>
        <w:rPr>
          <w:rFonts w:ascii="宋体" w:eastAsia="宋体" w:hAnsi="宋体"/>
          <w:sz w:val="24"/>
          <w:szCs w:val="24"/>
        </w:rPr>
      </w:pPr>
    </w:p>
    <w:p w14:paraId="2223EDDB" w14:textId="77777777" w:rsidR="005C5F92" w:rsidRPr="005C5F92" w:rsidRDefault="005C5F92" w:rsidP="005C5F92">
      <w:pPr>
        <w:spacing w:line="400" w:lineRule="exact"/>
        <w:rPr>
          <w:rFonts w:ascii="宋体" w:eastAsia="宋体" w:hAnsi="宋体"/>
          <w:sz w:val="24"/>
          <w:szCs w:val="24"/>
        </w:rPr>
      </w:pPr>
      <w:r w:rsidRPr="005C5F92">
        <w:rPr>
          <w:rFonts w:ascii="宋体" w:eastAsia="宋体" w:hAnsi="宋体" w:hint="eastAsia"/>
          <w:sz w:val="24"/>
          <w:szCs w:val="24"/>
        </w:rPr>
        <w:t>四、线下一流课程（</w:t>
      </w:r>
      <w:r w:rsidRPr="005C5F92">
        <w:rPr>
          <w:rFonts w:ascii="宋体" w:eastAsia="宋体" w:hAnsi="宋体"/>
          <w:sz w:val="24"/>
          <w:szCs w:val="24"/>
        </w:rPr>
        <w:t>2076门）</w:t>
      </w:r>
    </w:p>
    <w:tbl>
      <w:tblPr>
        <w:tblW w:w="9634" w:type="dxa"/>
        <w:tblLayout w:type="fixed"/>
        <w:tblLook w:val="04A0" w:firstRow="1" w:lastRow="0" w:firstColumn="1" w:lastColumn="0" w:noHBand="0" w:noVBand="1"/>
      </w:tblPr>
      <w:tblGrid>
        <w:gridCol w:w="704"/>
        <w:gridCol w:w="2126"/>
        <w:gridCol w:w="1701"/>
        <w:gridCol w:w="2835"/>
        <w:gridCol w:w="2268"/>
      </w:tblGrid>
      <w:tr w:rsidR="005C5F92" w:rsidRPr="005C5F92" w14:paraId="68C67672"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A11B"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F96BA3"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课程名称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A33C74"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课程负责人</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B533216"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b/>
                <w:bCs/>
                <w:kern w:val="0"/>
                <w:sz w:val="24"/>
                <w:szCs w:val="24"/>
              </w:rPr>
              <w:t>课程团队其他主要成员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1B57140" w14:textId="77777777"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hint="eastAsia"/>
                <w:b/>
                <w:bCs/>
                <w:kern w:val="0"/>
                <w:sz w:val="24"/>
                <w:szCs w:val="24"/>
              </w:rPr>
              <w:t>主要建设单位</w:t>
            </w:r>
            <w:bookmarkStart w:id="0" w:name="_GoBack"/>
            <w:bookmarkEnd w:id="0"/>
          </w:p>
        </w:tc>
      </w:tr>
      <w:tr w:rsidR="005C5F92" w:rsidRPr="005C5F92" w14:paraId="5C0A7B74" w14:textId="77777777" w:rsidTr="005C5F92">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3801" w14:textId="79675D32"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kern w:val="0"/>
                <w:sz w:val="24"/>
                <w:szCs w:val="24"/>
              </w:rPr>
              <w:t>816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87F720E" w14:textId="0D6F3D2F"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直升机飞行力学</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4747F2" w14:textId="7F8ADB68"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陈仁良</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59FE5FC" w14:textId="0D1032D9" w:rsidR="005C5F92" w:rsidRPr="005C5F92" w:rsidRDefault="005C5F92" w:rsidP="005C5F92">
            <w:pPr>
              <w:widowControl/>
              <w:spacing w:line="400" w:lineRule="exact"/>
              <w:jc w:val="center"/>
              <w:rPr>
                <w:rFonts w:ascii="宋体" w:eastAsia="宋体" w:hAnsi="宋体" w:cs="Times New Roman"/>
                <w:b/>
                <w:bCs/>
                <w:kern w:val="0"/>
                <w:sz w:val="24"/>
                <w:szCs w:val="24"/>
              </w:rPr>
            </w:pPr>
            <w:r w:rsidRPr="005C5F92">
              <w:rPr>
                <w:rFonts w:ascii="宋体" w:eastAsia="宋体" w:hAnsi="宋体" w:cs="Times New Roman"/>
                <w:kern w:val="0"/>
                <w:sz w:val="24"/>
                <w:szCs w:val="24"/>
              </w:rPr>
              <w:t>李攀、陆洋</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46AA92" w14:textId="417B714B" w:rsidR="005C5F92" w:rsidRPr="005C5F92" w:rsidRDefault="005C5F92" w:rsidP="005C5F92">
            <w:pPr>
              <w:widowControl/>
              <w:spacing w:line="400" w:lineRule="exact"/>
              <w:jc w:val="center"/>
              <w:rPr>
                <w:rFonts w:ascii="宋体" w:eastAsia="宋体" w:hAnsi="宋体" w:cs="Times New Roman" w:hint="eastAsia"/>
                <w:b/>
                <w:bCs/>
                <w:kern w:val="0"/>
                <w:sz w:val="24"/>
                <w:szCs w:val="24"/>
              </w:rPr>
            </w:pPr>
            <w:r w:rsidRPr="005C5F92">
              <w:rPr>
                <w:rFonts w:ascii="宋体" w:eastAsia="宋体" w:hAnsi="宋体" w:cs="Times New Roman" w:hint="eastAsia"/>
                <w:kern w:val="0"/>
                <w:sz w:val="24"/>
                <w:szCs w:val="24"/>
              </w:rPr>
              <w:t>南京航空航天大学</w:t>
            </w:r>
          </w:p>
        </w:tc>
      </w:tr>
    </w:tbl>
    <w:p w14:paraId="157B90C7" w14:textId="77777777" w:rsidR="00930891" w:rsidRPr="005C5F92" w:rsidRDefault="00930891" w:rsidP="005C5F92">
      <w:pPr>
        <w:spacing w:line="400" w:lineRule="exact"/>
        <w:rPr>
          <w:rFonts w:ascii="宋体" w:eastAsia="宋体" w:hAnsi="宋体" w:hint="eastAsia"/>
          <w:sz w:val="24"/>
          <w:szCs w:val="24"/>
        </w:rPr>
      </w:pPr>
    </w:p>
    <w:sectPr w:rsidR="00930891" w:rsidRPr="005C5F92" w:rsidSect="00E15AF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8A"/>
    <w:rsid w:val="001A7BFF"/>
    <w:rsid w:val="005C5F92"/>
    <w:rsid w:val="006C68B3"/>
    <w:rsid w:val="00930891"/>
    <w:rsid w:val="00AF3D2B"/>
    <w:rsid w:val="00BB068A"/>
    <w:rsid w:val="00E1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4A1E"/>
  <w15:chartTrackingRefBased/>
  <w15:docId w15:val="{90847960-BC85-4258-8440-EC9CB9C9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F3D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D2B"/>
    <w:rPr>
      <w:color w:val="0563C1" w:themeColor="hyperlink"/>
      <w:u w:val="single"/>
    </w:rPr>
  </w:style>
  <w:style w:type="character" w:styleId="a4">
    <w:name w:val="Unresolved Mention"/>
    <w:basedOn w:val="a0"/>
    <w:uiPriority w:val="99"/>
    <w:semiHidden/>
    <w:unhideWhenUsed/>
    <w:rsid w:val="00AF3D2B"/>
    <w:rPr>
      <w:color w:val="605E5C"/>
      <w:shd w:val="clear" w:color="auto" w:fill="E1DFDD"/>
    </w:rPr>
  </w:style>
  <w:style w:type="character" w:customStyle="1" w:styleId="10">
    <w:name w:val="标题 1 字符"/>
    <w:basedOn w:val="a0"/>
    <w:link w:val="1"/>
    <w:uiPriority w:val="9"/>
    <w:rsid w:val="00AF3D2B"/>
    <w:rPr>
      <w:rFonts w:ascii="宋体" w:eastAsia="宋体" w:hAnsi="宋体" w:cs="宋体"/>
      <w:b/>
      <w:bCs/>
      <w:kern w:val="36"/>
      <w:sz w:val="48"/>
      <w:szCs w:val="48"/>
    </w:rPr>
  </w:style>
  <w:style w:type="paragraph" w:customStyle="1" w:styleId="moe-policy-wenhao">
    <w:name w:val="moe-policy-wenhao"/>
    <w:basedOn w:val="a"/>
    <w:rsid w:val="00AF3D2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F3D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0222">
      <w:bodyDiv w:val="1"/>
      <w:marLeft w:val="0"/>
      <w:marRight w:val="0"/>
      <w:marTop w:val="0"/>
      <w:marBottom w:val="0"/>
      <w:divBdr>
        <w:top w:val="none" w:sz="0" w:space="0" w:color="auto"/>
        <w:left w:val="none" w:sz="0" w:space="0" w:color="auto"/>
        <w:bottom w:val="none" w:sz="0" w:space="0" w:color="auto"/>
        <w:right w:val="none" w:sz="0" w:space="0" w:color="auto"/>
      </w:divBdr>
      <w:divsChild>
        <w:div w:id="7352791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7056/202306/W020230612426333556310.docx" TargetMode="External"/><Relationship Id="rId5" Type="http://schemas.openxmlformats.org/officeDocument/2006/relationships/image" Target="media/image1.png"/><Relationship Id="rId4" Type="http://schemas.openxmlformats.org/officeDocument/2006/relationships/hyperlink" Target="http://www.moe.gov.cn/srcsite/A08/s7056/202306/t20230612_10638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5</cp:revision>
  <dcterms:created xsi:type="dcterms:W3CDTF">2024-03-11T07:45:00Z</dcterms:created>
  <dcterms:modified xsi:type="dcterms:W3CDTF">2024-03-11T08:01:00Z</dcterms:modified>
</cp:coreProperties>
</file>